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C7" w:rsidRPr="00CE786A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CE786A">
        <w:rPr>
          <w:rFonts w:ascii="Times New Roman" w:hAnsi="Times New Roman"/>
          <w:b/>
          <w:sz w:val="28"/>
        </w:rPr>
        <w:t>CỘNG HÒA XÃ HỘI CHỦ NGHĨA VIỆT NAM</w:t>
      </w:r>
    </w:p>
    <w:p w:rsidR="006712C7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CE786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E786A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6712C7" w:rsidRPr="00A77E32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_______________________</w:t>
      </w:r>
    </w:p>
    <w:p w:rsidR="006712C7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SƠ YẾU LÝ LỊCH</w:t>
      </w:r>
    </w:p>
    <w:p w:rsidR="006712C7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12C7" w:rsidRPr="00A77E32" w:rsidRDefault="006712C7" w:rsidP="006712C7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790"/>
        <w:gridCol w:w="896"/>
        <w:gridCol w:w="508"/>
        <w:gridCol w:w="2556"/>
        <w:gridCol w:w="2790"/>
      </w:tblGrid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Họ tên: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b/>
                <w:sz w:val="24"/>
                <w:szCs w:val="24"/>
              </w:rPr>
              <w:t>PHẠM THÁI HÒA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Giới tính: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Ngày tháng năm sinh: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20/09/1982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Nơi sinh: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Trạm y tế Đường sắt- Thành phố Thái Nguyên- tỉnh Thái Nguyên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Quốc tịch: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Địa chỉ: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Tổ 19- P.Phú Xá- TP Thái Nguyên- tỉnh Thái Nguyên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CMND: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090752537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Trình độ chuyên môn: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Chức vụ hiện nay: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Thành viên HĐQT kiêm Kế toán trưởng Công ty cổ phần Đầu tư và Phát triển TDT</w:t>
            </w:r>
          </w:p>
        </w:tc>
      </w:tr>
      <w:tr w:rsidR="006712C7" w:rsidRPr="0002263B" w:rsidTr="00C32729">
        <w:tc>
          <w:tcPr>
            <w:tcW w:w="368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Chức vụ đang nắm giữ tại tổ chức khác:</w:t>
            </w:r>
          </w:p>
        </w:tc>
        <w:tc>
          <w:tcPr>
            <w:tcW w:w="585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6712C7" w:rsidRPr="0002263B" w:rsidTr="00C32729">
        <w:tc>
          <w:tcPr>
            <w:tcW w:w="3686" w:type="dxa"/>
            <w:gridSpan w:val="2"/>
            <w:tcBorders>
              <w:bottom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Quá trình công tác:</w:t>
            </w:r>
          </w:p>
        </w:tc>
        <w:tc>
          <w:tcPr>
            <w:tcW w:w="5854" w:type="dxa"/>
            <w:gridSpan w:val="3"/>
            <w:tcBorders>
              <w:bottom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6712C7" w:rsidRPr="0002263B" w:rsidRDefault="006712C7" w:rsidP="00C32729">
            <w:pPr>
              <w:tabs>
                <w:tab w:val="center" w:pos="1238"/>
                <w:tab w:val="right" w:pos="2477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2263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6712C7" w:rsidRPr="0002263B" w:rsidRDefault="006712C7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2263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6712C7" w:rsidRPr="0002263B" w:rsidRDefault="006712C7" w:rsidP="00C3272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02263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 xml:space="preserve">10/2008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04/2010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TM TNG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5/2010 - 02/2011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TM TNG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P.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03/2011- 06/2011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TM TNG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>07/2011- 06/2014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TDT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6712C7" w:rsidRPr="0002263B" w:rsidTr="00C3272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06/2014 - Nay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CP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TDT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C7" w:rsidRPr="0002263B" w:rsidRDefault="006712C7" w:rsidP="00C32729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63B">
              <w:rPr>
                <w:rFonts w:ascii="Times New Roman" w:hAnsi="Times New Roman"/>
                <w:sz w:val="24"/>
                <w:szCs w:val="24"/>
              </w:rPr>
              <w:t xml:space="preserve">TVHĐQT –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022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6712C7" w:rsidRPr="0002263B" w:rsidTr="00C32729">
        <w:tc>
          <w:tcPr>
            <w:tcW w:w="4194" w:type="dxa"/>
            <w:gridSpan w:val="3"/>
            <w:tcBorders>
              <w:top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Hành vi vi phạm pháp luật: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</w:tcBorders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giữ: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160.000 cổ phiếu (Tỷ lệ nắm giữ 1,996 %)</w:t>
            </w:r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Trong đó:</w:t>
            </w:r>
          </w:p>
          <w:p w:rsidR="006712C7" w:rsidRPr="0002263B" w:rsidRDefault="006712C7" w:rsidP="00C32729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Sở hữu cá nhân</w:t>
            </w:r>
          </w:p>
          <w:p w:rsidR="006712C7" w:rsidRPr="0002263B" w:rsidRDefault="006712C7" w:rsidP="00C32729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Được ủy quyền đại diện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6712C7" w:rsidRPr="0002263B" w:rsidRDefault="006712C7" w:rsidP="00C3272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160.000 cổ phiếu (Tỷ lệ nắm giữ 1,996 %)</w:t>
            </w:r>
          </w:p>
          <w:p w:rsidR="006712C7" w:rsidRPr="0002263B" w:rsidRDefault="006712C7" w:rsidP="00C3272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02263B">
              <w:rPr>
                <w:rFonts w:ascii="Times New Roman" w:hAnsi="Times New Roman"/>
                <w:i/>
                <w:sz w:val="24"/>
                <w:szCs w:val="24"/>
              </w:rPr>
              <w:t>cổ</w:t>
            </w:r>
            <w:proofErr w:type="spellEnd"/>
            <w:r w:rsidRPr="000226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263B">
              <w:rPr>
                <w:rFonts w:ascii="Times New Roman" w:hAnsi="Times New Roman"/>
                <w:i/>
                <w:sz w:val="24"/>
                <w:szCs w:val="24"/>
              </w:rPr>
              <w:t>phiếu</w:t>
            </w:r>
            <w:proofErr w:type="spellEnd"/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 của những người liên quan: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Các khoản nợ đối với Công ty: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Thù lao và lợi ích khác nhận được từ Công ty: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Theo quy định của Công ty</w:t>
            </w:r>
          </w:p>
        </w:tc>
      </w:tr>
      <w:tr w:rsidR="006712C7" w:rsidRPr="0002263B" w:rsidTr="00C32729">
        <w:tc>
          <w:tcPr>
            <w:tcW w:w="4194" w:type="dxa"/>
            <w:gridSpan w:val="3"/>
            <w:vAlign w:val="center"/>
          </w:tcPr>
          <w:p w:rsidR="006712C7" w:rsidRPr="0002263B" w:rsidRDefault="006712C7" w:rsidP="00C32729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2263B">
              <w:rPr>
                <w:rFonts w:ascii="Times New Roman" w:hAnsi="Times New Roman"/>
                <w:sz w:val="24"/>
                <w:szCs w:val="24"/>
                <w:lang w:val="nl-NL"/>
              </w:rPr>
              <w:t>Lợi ích liên quan đối với Công ty:</w:t>
            </w:r>
          </w:p>
        </w:tc>
        <w:tc>
          <w:tcPr>
            <w:tcW w:w="5346" w:type="dxa"/>
            <w:gridSpan w:val="2"/>
            <w:vAlign w:val="center"/>
          </w:tcPr>
          <w:p w:rsidR="006712C7" w:rsidRPr="0002263B" w:rsidRDefault="006712C7" w:rsidP="00C3272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proofErr w:type="spellStart"/>
            <w:r w:rsidRPr="0002263B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</w:p>
        </w:tc>
      </w:tr>
    </w:tbl>
    <w:p w:rsidR="006712C7" w:rsidRPr="00361F9F" w:rsidRDefault="006712C7" w:rsidP="006712C7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373"/>
      </w:tblGrid>
      <w:tr w:rsidR="006712C7" w:rsidRPr="00361F9F" w:rsidTr="00C32729">
        <w:tc>
          <w:tcPr>
            <w:tcW w:w="2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C7" w:rsidRPr="00FE1EB8" w:rsidRDefault="006712C7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tháng 01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2C7" w:rsidRDefault="006712C7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…..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5428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6712C7" w:rsidRDefault="006712C7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6712C7" w:rsidRDefault="006712C7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6712C7" w:rsidRDefault="006712C7" w:rsidP="00C3272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6712C7" w:rsidRPr="00526AC6" w:rsidRDefault="006712C7" w:rsidP="00C327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PHẠM THÁI HÒA</w:t>
            </w:r>
          </w:p>
        </w:tc>
      </w:tr>
    </w:tbl>
    <w:p w:rsidR="006712C7" w:rsidRDefault="006712C7" w:rsidP="006712C7"/>
    <w:p w:rsidR="00F63000" w:rsidRDefault="00F63000"/>
    <w:sectPr w:rsidR="00F6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7"/>
    <w:rsid w:val="003D2471"/>
    <w:rsid w:val="006712C7"/>
    <w:rsid w:val="009C0B8A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C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C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2018-05-25T07:00:00Z</dcterms:created>
  <dcterms:modified xsi:type="dcterms:W3CDTF">2018-05-25T07:00:00Z</dcterms:modified>
</cp:coreProperties>
</file>